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C2A" w:rsidRPr="00381417" w:rsidRDefault="00135C2A" w:rsidP="00135C2A">
      <w:pPr>
        <w:jc w:val="both"/>
        <w:rPr>
          <w:rFonts w:ascii="Titillium Web" w:hAnsi="Titillium Web" w:cs="Arial"/>
          <w:b/>
          <w:bCs/>
          <w:noProof/>
          <w:color w:val="2E74B5" w:themeColor="accent1" w:themeShade="BF"/>
          <w:sz w:val="24"/>
          <w:szCs w:val="24"/>
          <w:lang w:eastAsia="es-ES"/>
        </w:rPr>
      </w:pPr>
      <w:r w:rsidRPr="00381417">
        <w:rPr>
          <w:rFonts w:ascii="Titillium Web" w:hAnsi="Titillium Web" w:cs="Arial"/>
          <w:b/>
          <w:bCs/>
          <w:noProof/>
          <w:color w:val="2E74B5" w:themeColor="accent1" w:themeShade="BF"/>
          <w:sz w:val="24"/>
          <w:szCs w:val="24"/>
          <w:lang w:eastAsia="es-ES"/>
        </w:rPr>
        <w:t xml:space="preserve">PLIEGO DE PRESCRIPCIONES TÉCNICAS PARTICULARES – </w:t>
      </w:r>
      <w:r w:rsidR="007D4FF2">
        <w:rPr>
          <w:rFonts w:ascii="Titillium Web" w:hAnsi="Titillium Web" w:cs="Arial"/>
          <w:b/>
          <w:bCs/>
          <w:noProof/>
          <w:color w:val="2E74B5" w:themeColor="accent1" w:themeShade="BF"/>
          <w:sz w:val="24"/>
          <w:szCs w:val="24"/>
          <w:lang w:eastAsia="es-ES"/>
        </w:rPr>
        <w:t xml:space="preserve">PROYECTO Y DIRECCIÓN DE LAS OBRAS PARA LA REFORMA DEL SALÓN DE ACTOS Y ACCESIBILIDAD AL EDIFICIO DEL COLEGIO OFICIAL DE APAREJADORES Y ARQUITECTOS TÉCNICOS DE GRANADA. </w:t>
      </w:r>
    </w:p>
    <w:p w:rsidR="00381417" w:rsidRDefault="00381417" w:rsidP="00381417">
      <w:pPr>
        <w:spacing w:line="360" w:lineRule="auto"/>
        <w:jc w:val="both"/>
        <w:rPr>
          <w:rFonts w:ascii="Titillium Web" w:hAnsi="Titillium Web" w:cs="Arial"/>
          <w:bCs/>
          <w:noProof/>
          <w:sz w:val="24"/>
          <w:szCs w:val="24"/>
          <w:lang w:eastAsia="es-ES"/>
        </w:rPr>
      </w:pPr>
    </w:p>
    <w:p w:rsidR="00135C2A" w:rsidRPr="00381417" w:rsidRDefault="00135C2A"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1. Objeto del Pliego de Prescripciones Particulares.</w:t>
      </w:r>
    </w:p>
    <w:p w:rsidR="00564E7C" w:rsidRPr="00381417" w:rsidRDefault="006669DB" w:rsidP="00135C2A">
      <w:pPr>
        <w:jc w:val="both"/>
        <w:rPr>
          <w:rFonts w:ascii="Titillium Web" w:hAnsi="Titillium Web" w:cs="Arial"/>
          <w:bCs/>
          <w:noProof/>
          <w:lang w:eastAsia="es-ES"/>
        </w:rPr>
      </w:pPr>
      <w:r w:rsidRPr="00381417">
        <w:rPr>
          <w:rFonts w:ascii="Titillium Web" w:hAnsi="Titillium Web" w:cs="Arial"/>
          <w:bCs/>
          <w:noProof/>
          <w:lang w:eastAsia="es-ES"/>
        </w:rPr>
        <w:t xml:space="preserve">El objeto del Proyecto es la </w:t>
      </w:r>
      <w:r w:rsidR="00564E7C" w:rsidRPr="00381417">
        <w:rPr>
          <w:rFonts w:ascii="Titillium Web" w:hAnsi="Titillium Web" w:cs="Arial"/>
          <w:b/>
          <w:bCs/>
          <w:noProof/>
          <w:lang w:eastAsia="es-ES"/>
        </w:rPr>
        <w:t>ADAPTACIÓN DEL SALÓN DE ACTOS DE LA SEDE DEL COLEGIO DE APAREJADORES Y ARQU</w:t>
      </w:r>
      <w:r w:rsidR="00E10C1C">
        <w:rPr>
          <w:rFonts w:ascii="Titillium Web" w:hAnsi="Titillium Web" w:cs="Arial"/>
          <w:b/>
          <w:bCs/>
          <w:noProof/>
          <w:lang w:eastAsia="es-ES"/>
        </w:rPr>
        <w:t>I</w:t>
      </w:r>
      <w:r w:rsidR="00564E7C" w:rsidRPr="00381417">
        <w:rPr>
          <w:rFonts w:ascii="Titillium Web" w:hAnsi="Titillium Web" w:cs="Arial"/>
          <w:b/>
          <w:bCs/>
          <w:noProof/>
          <w:lang w:eastAsia="es-ES"/>
        </w:rPr>
        <w:t>TECTOS TÉCNICOS DE GRANADA A LA NUEVA DISTRIBUCIÓN PREVISTA</w:t>
      </w:r>
      <w:r w:rsidR="007D4FF2">
        <w:rPr>
          <w:rFonts w:ascii="Titillium Web" w:hAnsi="Titillium Web" w:cs="Arial"/>
          <w:b/>
          <w:bCs/>
          <w:noProof/>
          <w:lang w:eastAsia="es-ES"/>
        </w:rPr>
        <w:t xml:space="preserve"> Y LA ACCESIBILIDAD AL EDIFICIO</w:t>
      </w:r>
      <w:r w:rsidR="006D66B7" w:rsidRPr="00381417">
        <w:rPr>
          <w:rFonts w:ascii="Titillium Web" w:hAnsi="Titillium Web" w:cs="Arial"/>
          <w:b/>
          <w:bCs/>
          <w:noProof/>
          <w:lang w:eastAsia="es-ES"/>
        </w:rPr>
        <w:t xml:space="preserve">, la </w:t>
      </w:r>
      <w:r w:rsidR="007D4FF2">
        <w:rPr>
          <w:rFonts w:ascii="Titillium Web" w:hAnsi="Titillium Web" w:cs="Arial"/>
          <w:b/>
          <w:bCs/>
          <w:noProof/>
          <w:lang w:eastAsia="es-ES"/>
        </w:rPr>
        <w:t>t</w:t>
      </w:r>
      <w:r w:rsidR="006D66B7" w:rsidRPr="00381417">
        <w:rPr>
          <w:rFonts w:ascii="Titillium Web" w:hAnsi="Titillium Web" w:cs="Arial"/>
          <w:b/>
          <w:bCs/>
          <w:noProof/>
          <w:lang w:eastAsia="es-ES"/>
        </w:rPr>
        <w:t xml:space="preserve">ramitación de </w:t>
      </w:r>
      <w:r w:rsidR="00564E7C" w:rsidRPr="00381417">
        <w:rPr>
          <w:rFonts w:ascii="Titillium Web" w:hAnsi="Titillium Web" w:cs="Arial"/>
          <w:b/>
          <w:bCs/>
          <w:noProof/>
          <w:lang w:eastAsia="es-ES"/>
        </w:rPr>
        <w:t>licencias</w:t>
      </w:r>
      <w:r w:rsidR="006D66B7" w:rsidRPr="00381417">
        <w:rPr>
          <w:rFonts w:ascii="Titillium Web" w:hAnsi="Titillium Web" w:cs="Arial"/>
          <w:b/>
          <w:bCs/>
          <w:noProof/>
          <w:lang w:eastAsia="es-ES"/>
        </w:rPr>
        <w:t xml:space="preserve"> y permisos pertine</w:t>
      </w:r>
      <w:r w:rsidR="00564E7C" w:rsidRPr="00381417">
        <w:rPr>
          <w:rFonts w:ascii="Titillium Web" w:hAnsi="Titillium Web" w:cs="Arial"/>
          <w:b/>
          <w:bCs/>
          <w:noProof/>
          <w:lang w:eastAsia="es-ES"/>
        </w:rPr>
        <w:t>ntes</w:t>
      </w:r>
      <w:r w:rsidR="006D66B7" w:rsidRPr="00381417">
        <w:rPr>
          <w:rFonts w:ascii="Titillium Web" w:hAnsi="Titillium Web" w:cs="Arial"/>
          <w:b/>
          <w:bCs/>
          <w:noProof/>
          <w:lang w:eastAsia="es-ES"/>
        </w:rPr>
        <w:t xml:space="preserve"> para el inicio de obra, y la Dirección de Obra</w:t>
      </w:r>
      <w:r w:rsidR="00564E7C" w:rsidRPr="00381417">
        <w:rPr>
          <w:rFonts w:ascii="Titillium Web" w:hAnsi="Titillium Web" w:cs="Arial"/>
          <w:bCs/>
          <w:noProof/>
          <w:lang w:eastAsia="es-ES"/>
        </w:rPr>
        <w:t>.</w:t>
      </w:r>
    </w:p>
    <w:p w:rsidR="00564E7C" w:rsidRDefault="006D66B7" w:rsidP="00135C2A">
      <w:pPr>
        <w:jc w:val="both"/>
        <w:rPr>
          <w:rFonts w:ascii="Titillium Web" w:hAnsi="Titillium Web" w:cs="Arial"/>
          <w:bCs/>
          <w:noProof/>
          <w:lang w:eastAsia="es-ES"/>
        </w:rPr>
      </w:pPr>
      <w:r w:rsidRPr="00381417">
        <w:rPr>
          <w:rFonts w:ascii="Titillium Web" w:hAnsi="Titillium Web" w:cs="Arial"/>
          <w:bCs/>
          <w:noProof/>
          <w:lang w:eastAsia="es-ES"/>
        </w:rPr>
        <w:t>El contrato que sobre la base del presente pliego se realice, tendrá por objeto la redacción del proyecto que desarrolle el plano facilitado con la idea de nueva distribución, la</w:t>
      </w:r>
      <w:r w:rsidR="007D4FF2">
        <w:rPr>
          <w:rFonts w:ascii="Titillium Web" w:hAnsi="Titillium Web" w:cs="Arial"/>
          <w:bCs/>
          <w:noProof/>
          <w:lang w:eastAsia="es-ES"/>
        </w:rPr>
        <w:t>s diligencias necesarias para la correcta</w:t>
      </w:r>
      <w:r w:rsidRPr="00381417">
        <w:rPr>
          <w:rFonts w:ascii="Titillium Web" w:hAnsi="Titillium Web" w:cs="Arial"/>
          <w:bCs/>
          <w:noProof/>
          <w:lang w:eastAsia="es-ES"/>
        </w:rPr>
        <w:t xml:space="preserve"> tramitación de licencias y permisos, y la dirección de obra.</w:t>
      </w:r>
    </w:p>
    <w:p w:rsidR="00994BAF" w:rsidRPr="00381417" w:rsidRDefault="00994BAF" w:rsidP="00135C2A">
      <w:pPr>
        <w:jc w:val="both"/>
        <w:rPr>
          <w:rFonts w:ascii="Titillium Web" w:hAnsi="Titillium Web" w:cs="Arial"/>
          <w:bCs/>
          <w:noProof/>
          <w:lang w:eastAsia="es-ES"/>
        </w:rPr>
      </w:pPr>
      <w:r>
        <w:rPr>
          <w:rFonts w:ascii="Titillium Web" w:hAnsi="Titillium Web" w:cs="Arial"/>
          <w:bCs/>
          <w:noProof/>
          <w:lang w:eastAsia="es-ES"/>
        </w:rPr>
        <w:t>En este sentido, y para estas obras se prima emplear críterios e ideas donde se controle el gasto, tanto en la realización de las obras como sus posteriores costes de mantenimiento. Así también, se debe seguir este criterio para la mejora de las instalaciones objeto de actuación.</w:t>
      </w:r>
    </w:p>
    <w:p w:rsidR="006D66B7" w:rsidRPr="00381417" w:rsidRDefault="006D66B7" w:rsidP="00135C2A">
      <w:pPr>
        <w:jc w:val="both"/>
        <w:rPr>
          <w:rFonts w:ascii="Titillium Web" w:hAnsi="Titillium Web" w:cs="Arial"/>
          <w:bCs/>
          <w:noProof/>
          <w:lang w:eastAsia="es-ES"/>
        </w:rPr>
      </w:pPr>
      <w:r w:rsidRPr="00381417">
        <w:rPr>
          <w:rFonts w:ascii="Titillium Web" w:hAnsi="Titillium Web" w:cs="Arial"/>
          <w:bCs/>
          <w:noProof/>
          <w:lang w:eastAsia="es-ES"/>
        </w:rPr>
        <w:t xml:space="preserve">El proyecto que se aporte deberá contener </w:t>
      </w:r>
      <w:r w:rsidR="00E007B6" w:rsidRPr="00381417">
        <w:rPr>
          <w:rFonts w:ascii="Titillium Web" w:hAnsi="Titillium Web" w:cs="Arial"/>
          <w:bCs/>
          <w:noProof/>
          <w:lang w:eastAsia="es-ES"/>
        </w:rPr>
        <w:t>todas las especificaciones necesarias para la correcta ejecución de las obras, incluyendo las siguientes</w:t>
      </w:r>
      <w:r w:rsidR="00994BAF">
        <w:rPr>
          <w:rFonts w:ascii="Titillium Web" w:hAnsi="Titillium Web" w:cs="Arial"/>
          <w:bCs/>
          <w:noProof/>
          <w:lang w:eastAsia="es-ES"/>
        </w:rPr>
        <w:t xml:space="preserve"> necesidades</w:t>
      </w:r>
      <w:r w:rsidR="00E007B6" w:rsidRPr="00381417">
        <w:rPr>
          <w:rFonts w:ascii="Titillium Web" w:hAnsi="Titillium Web" w:cs="Arial"/>
          <w:bCs/>
          <w:noProof/>
          <w:lang w:eastAsia="es-ES"/>
        </w:rPr>
        <w:t>:</w:t>
      </w:r>
    </w:p>
    <w:p w:rsidR="00E007B6" w:rsidRPr="00381417" w:rsidRDefault="00994BAF" w:rsidP="00E007B6">
      <w:pPr>
        <w:pStyle w:val="Prrafodelista"/>
        <w:numPr>
          <w:ilvl w:val="0"/>
          <w:numId w:val="3"/>
        </w:numPr>
        <w:jc w:val="both"/>
        <w:rPr>
          <w:rFonts w:ascii="Titillium Web" w:hAnsi="Titillium Web" w:cs="Arial"/>
          <w:bCs/>
          <w:noProof/>
          <w:lang w:eastAsia="es-ES"/>
        </w:rPr>
      </w:pPr>
      <w:r>
        <w:rPr>
          <w:rFonts w:ascii="Titillium Web" w:hAnsi="Titillium Web" w:cs="Arial"/>
          <w:bCs/>
          <w:noProof/>
          <w:lang w:eastAsia="es-ES"/>
        </w:rPr>
        <w:t>Obras necesarias para la</w:t>
      </w:r>
      <w:r w:rsidR="00E007B6" w:rsidRPr="00381417">
        <w:rPr>
          <w:rFonts w:ascii="Titillium Web" w:hAnsi="Titillium Web" w:cs="Arial"/>
          <w:bCs/>
          <w:noProof/>
          <w:lang w:eastAsia="es-ES"/>
        </w:rPr>
        <w:t xml:space="preserve"> nueva distribución de planta del salón de actos será la indicada en plano adjunto en el Anexo I.</w:t>
      </w:r>
    </w:p>
    <w:p w:rsidR="00E007B6" w:rsidRPr="00381417" w:rsidRDefault="00994BAF" w:rsidP="00E007B6">
      <w:pPr>
        <w:pStyle w:val="Prrafodelista"/>
        <w:numPr>
          <w:ilvl w:val="0"/>
          <w:numId w:val="3"/>
        </w:numPr>
        <w:jc w:val="both"/>
        <w:rPr>
          <w:rFonts w:ascii="Titillium Web" w:hAnsi="Titillium Web" w:cs="Arial"/>
          <w:bCs/>
          <w:noProof/>
          <w:lang w:eastAsia="es-ES"/>
        </w:rPr>
      </w:pPr>
      <w:r>
        <w:rPr>
          <w:rFonts w:ascii="Titillium Web" w:hAnsi="Titillium Web" w:cs="Arial"/>
          <w:bCs/>
          <w:noProof/>
          <w:lang w:eastAsia="es-ES"/>
        </w:rPr>
        <w:t xml:space="preserve">Mejora de instalación eléctrica. </w:t>
      </w:r>
      <w:r w:rsidR="00E007B6" w:rsidRPr="00381417">
        <w:rPr>
          <w:rFonts w:ascii="Titillium Web" w:hAnsi="Titillium Web" w:cs="Arial"/>
          <w:bCs/>
          <w:noProof/>
          <w:lang w:eastAsia="es-ES"/>
        </w:rPr>
        <w:t xml:space="preserve">Toda la instalación eléctrica del salón de actos se derivará a un subcuadro eléctrico, encontrándose </w:t>
      </w:r>
      <w:r w:rsidR="00381417">
        <w:rPr>
          <w:rFonts w:ascii="Titillium Web" w:hAnsi="Titillium Web" w:cs="Arial"/>
          <w:bCs/>
          <w:noProof/>
          <w:lang w:eastAsia="es-ES"/>
        </w:rPr>
        <w:t>el salón de actos</w:t>
      </w:r>
      <w:r w:rsidR="00E007B6" w:rsidRPr="00381417">
        <w:rPr>
          <w:rFonts w:ascii="Titillium Web" w:hAnsi="Titillium Web" w:cs="Arial"/>
          <w:bCs/>
          <w:noProof/>
          <w:lang w:eastAsia="es-ES"/>
        </w:rPr>
        <w:t xml:space="preserve"> totalmente independizado.</w:t>
      </w:r>
    </w:p>
    <w:p w:rsidR="00E007B6" w:rsidRDefault="00994BAF" w:rsidP="00E007B6">
      <w:pPr>
        <w:pStyle w:val="Prrafodelista"/>
        <w:numPr>
          <w:ilvl w:val="0"/>
          <w:numId w:val="3"/>
        </w:numPr>
        <w:jc w:val="both"/>
        <w:rPr>
          <w:rFonts w:ascii="Titillium Web" w:hAnsi="Titillium Web" w:cs="Arial"/>
          <w:bCs/>
          <w:noProof/>
          <w:lang w:eastAsia="es-ES"/>
        </w:rPr>
      </w:pPr>
      <w:r>
        <w:rPr>
          <w:rFonts w:ascii="Titillium Web" w:hAnsi="Titillium Web" w:cs="Arial"/>
          <w:bCs/>
          <w:noProof/>
          <w:lang w:eastAsia="es-ES"/>
        </w:rPr>
        <w:t>Mejora de la</w:t>
      </w:r>
      <w:r w:rsidR="00E007B6" w:rsidRPr="00381417">
        <w:rPr>
          <w:rFonts w:ascii="Titillium Web" w:hAnsi="Titillium Web" w:cs="Arial"/>
          <w:bCs/>
          <w:noProof/>
          <w:lang w:eastAsia="es-ES"/>
        </w:rPr>
        <w:t xml:space="preserve"> climatización </w:t>
      </w:r>
      <w:r>
        <w:rPr>
          <w:rFonts w:ascii="Titillium Web" w:hAnsi="Titillium Web" w:cs="Arial"/>
          <w:bCs/>
          <w:noProof/>
          <w:lang w:eastAsia="es-ES"/>
        </w:rPr>
        <w:t xml:space="preserve">y renovación de aire. </w:t>
      </w:r>
    </w:p>
    <w:p w:rsidR="00994BAF" w:rsidRDefault="00994BAF" w:rsidP="00E007B6">
      <w:pPr>
        <w:pStyle w:val="Prrafodelista"/>
        <w:numPr>
          <w:ilvl w:val="0"/>
          <w:numId w:val="3"/>
        </w:numPr>
        <w:jc w:val="both"/>
        <w:rPr>
          <w:rFonts w:ascii="Titillium Web" w:hAnsi="Titillium Web" w:cs="Arial"/>
          <w:bCs/>
          <w:noProof/>
          <w:lang w:eastAsia="es-ES"/>
        </w:rPr>
      </w:pPr>
      <w:r>
        <w:rPr>
          <w:rFonts w:ascii="Titillium Web" w:hAnsi="Titillium Web" w:cs="Arial"/>
          <w:bCs/>
          <w:noProof/>
          <w:lang w:eastAsia="es-ES"/>
        </w:rPr>
        <w:t xml:space="preserve">Mejora del sistema de sonido y audiovisual. </w:t>
      </w:r>
    </w:p>
    <w:p w:rsidR="00994BAF" w:rsidRDefault="00994BAF" w:rsidP="00E007B6">
      <w:pPr>
        <w:pStyle w:val="Prrafodelista"/>
        <w:numPr>
          <w:ilvl w:val="0"/>
          <w:numId w:val="3"/>
        </w:numPr>
        <w:jc w:val="both"/>
        <w:rPr>
          <w:rFonts w:ascii="Titillium Web" w:hAnsi="Titillium Web" w:cs="Arial"/>
          <w:bCs/>
          <w:noProof/>
          <w:lang w:eastAsia="es-ES"/>
        </w:rPr>
      </w:pPr>
      <w:r>
        <w:rPr>
          <w:rFonts w:ascii="Titillium Web" w:hAnsi="Titillium Web" w:cs="Arial"/>
          <w:bCs/>
          <w:noProof/>
          <w:lang w:eastAsia="es-ES"/>
        </w:rPr>
        <w:t xml:space="preserve">Iluminación. </w:t>
      </w:r>
    </w:p>
    <w:p w:rsidR="006D66B7" w:rsidRDefault="00B30073" w:rsidP="00135C2A">
      <w:pPr>
        <w:pStyle w:val="Prrafodelista"/>
        <w:numPr>
          <w:ilvl w:val="0"/>
          <w:numId w:val="3"/>
        </w:numPr>
        <w:jc w:val="both"/>
        <w:rPr>
          <w:rFonts w:ascii="Titillium Web" w:hAnsi="Titillium Web" w:cs="Arial"/>
          <w:bCs/>
          <w:noProof/>
          <w:lang w:eastAsia="es-ES"/>
        </w:rPr>
      </w:pPr>
      <w:r>
        <w:rPr>
          <w:rFonts w:ascii="Titillium Web" w:hAnsi="Titillium Web" w:cs="Arial"/>
          <w:bCs/>
          <w:noProof/>
          <w:lang w:eastAsia="es-ES"/>
        </w:rPr>
        <w:t xml:space="preserve">Obras para la accesibilidad al edificio. La entrada se realizará por calle Naranjos de San Matías. </w:t>
      </w:r>
    </w:p>
    <w:p w:rsidR="00B30073" w:rsidRPr="00B30073" w:rsidRDefault="00B30073" w:rsidP="00B30073">
      <w:pPr>
        <w:pStyle w:val="Prrafodelista"/>
        <w:jc w:val="both"/>
        <w:rPr>
          <w:rFonts w:ascii="Titillium Web" w:hAnsi="Titillium Web" w:cs="Arial"/>
          <w:bCs/>
          <w:noProof/>
          <w:lang w:eastAsia="es-ES"/>
        </w:rPr>
      </w:pPr>
    </w:p>
    <w:p w:rsidR="00135C2A" w:rsidRPr="00381417" w:rsidRDefault="008C26ED"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2</w:t>
      </w:r>
      <w:r w:rsidR="007D4FF2">
        <w:rPr>
          <w:rFonts w:ascii="Titillium Web" w:hAnsi="Titillium Web" w:cs="Arial"/>
          <w:b/>
          <w:bCs/>
          <w:noProof/>
          <w:color w:val="2E74B5" w:themeColor="accent1" w:themeShade="BF"/>
          <w:lang w:eastAsia="es-ES"/>
        </w:rPr>
        <w:t xml:space="preserve">. Presupuesto de honorarios. </w:t>
      </w:r>
    </w:p>
    <w:p w:rsidR="00E007B6" w:rsidRDefault="007D4FF2" w:rsidP="00135C2A">
      <w:pPr>
        <w:jc w:val="both"/>
        <w:rPr>
          <w:rFonts w:ascii="Titillium Web" w:hAnsi="Titillium Web" w:cs="Arial"/>
          <w:bCs/>
          <w:noProof/>
          <w:lang w:eastAsia="es-ES"/>
        </w:rPr>
      </w:pPr>
      <w:r>
        <w:rPr>
          <w:rFonts w:ascii="Titillium Web" w:hAnsi="Titillium Web" w:cs="Arial"/>
          <w:bCs/>
          <w:noProof/>
          <w:lang w:eastAsia="es-ES"/>
        </w:rPr>
        <w:t>El presupuesto de honorarios de la oferta deberá incluir las siguientes  partidas:</w:t>
      </w:r>
    </w:p>
    <w:p w:rsidR="007D4FF2" w:rsidRDefault="007D4FF2" w:rsidP="00D840D4">
      <w:pPr>
        <w:pStyle w:val="Prrafodelista"/>
        <w:numPr>
          <w:ilvl w:val="0"/>
          <w:numId w:val="7"/>
        </w:numPr>
        <w:jc w:val="both"/>
        <w:rPr>
          <w:rFonts w:ascii="Titillium Web" w:hAnsi="Titillium Web" w:cs="Arial"/>
          <w:bCs/>
          <w:noProof/>
          <w:lang w:eastAsia="es-ES"/>
        </w:rPr>
      </w:pPr>
      <w:r w:rsidRPr="00D840D4">
        <w:rPr>
          <w:rFonts w:ascii="Titillium Web" w:hAnsi="Titillium Web" w:cs="Arial"/>
          <w:bCs/>
          <w:noProof/>
          <w:lang w:eastAsia="es-ES"/>
        </w:rPr>
        <w:t xml:space="preserve">Proyecto </w:t>
      </w:r>
      <w:r w:rsidR="00994BAF">
        <w:rPr>
          <w:rFonts w:ascii="Titillium Web" w:hAnsi="Titillium Web" w:cs="Arial"/>
          <w:bCs/>
          <w:noProof/>
          <w:lang w:eastAsia="es-ES"/>
        </w:rPr>
        <w:t>completo detallando</w:t>
      </w:r>
      <w:r w:rsidRPr="00D840D4">
        <w:rPr>
          <w:rFonts w:ascii="Titillium Web" w:hAnsi="Titillium Web" w:cs="Arial"/>
          <w:bCs/>
          <w:noProof/>
          <w:lang w:eastAsia="es-ES"/>
        </w:rPr>
        <w:t xml:space="preserve"> las obras a realizar. </w:t>
      </w:r>
    </w:p>
    <w:p w:rsidR="00D840D4" w:rsidRDefault="00D840D4" w:rsidP="00D840D4">
      <w:pPr>
        <w:pStyle w:val="Prrafodelista"/>
        <w:numPr>
          <w:ilvl w:val="0"/>
          <w:numId w:val="7"/>
        </w:numPr>
        <w:jc w:val="both"/>
        <w:rPr>
          <w:rFonts w:ascii="Titillium Web" w:hAnsi="Titillium Web" w:cs="Arial"/>
          <w:bCs/>
          <w:noProof/>
          <w:lang w:eastAsia="es-ES"/>
        </w:rPr>
      </w:pPr>
      <w:r>
        <w:rPr>
          <w:rFonts w:ascii="Titillium Web" w:hAnsi="Titillium Web" w:cs="Arial"/>
          <w:bCs/>
          <w:noProof/>
          <w:lang w:eastAsia="es-ES"/>
        </w:rPr>
        <w:t xml:space="preserve">Dirección de las obras. </w:t>
      </w:r>
      <w:r w:rsidR="00994BAF">
        <w:rPr>
          <w:rFonts w:ascii="Titillium Web" w:hAnsi="Titillium Web" w:cs="Arial"/>
          <w:bCs/>
          <w:noProof/>
          <w:lang w:eastAsia="es-ES"/>
        </w:rPr>
        <w:t>Indicando nivel de control y número de visitas a realizar.</w:t>
      </w:r>
    </w:p>
    <w:p w:rsidR="00994BAF" w:rsidRDefault="00994BAF" w:rsidP="00D840D4">
      <w:pPr>
        <w:pStyle w:val="Prrafodelista"/>
        <w:numPr>
          <w:ilvl w:val="0"/>
          <w:numId w:val="7"/>
        </w:numPr>
        <w:jc w:val="both"/>
        <w:rPr>
          <w:rFonts w:ascii="Titillium Web" w:hAnsi="Titillium Web" w:cs="Arial"/>
          <w:bCs/>
          <w:noProof/>
          <w:lang w:eastAsia="es-ES"/>
        </w:rPr>
      </w:pPr>
      <w:r>
        <w:rPr>
          <w:rFonts w:ascii="Titillium Web" w:hAnsi="Titillium Web" w:cs="Arial"/>
          <w:bCs/>
          <w:noProof/>
          <w:lang w:eastAsia="es-ES"/>
        </w:rPr>
        <w:t xml:space="preserve">Coordinación de Seguridad y Salud. </w:t>
      </w:r>
    </w:p>
    <w:p w:rsidR="00994BAF" w:rsidRPr="00D840D4" w:rsidRDefault="00994BAF" w:rsidP="00D840D4">
      <w:pPr>
        <w:pStyle w:val="Prrafodelista"/>
        <w:numPr>
          <w:ilvl w:val="0"/>
          <w:numId w:val="7"/>
        </w:numPr>
        <w:jc w:val="both"/>
        <w:rPr>
          <w:rFonts w:ascii="Titillium Web" w:hAnsi="Titillium Web" w:cs="Arial"/>
          <w:bCs/>
          <w:noProof/>
          <w:lang w:eastAsia="es-ES"/>
        </w:rPr>
      </w:pPr>
      <w:r>
        <w:rPr>
          <w:rFonts w:ascii="Titillium Web" w:hAnsi="Titillium Web" w:cs="Arial"/>
          <w:bCs/>
          <w:noProof/>
          <w:lang w:eastAsia="es-ES"/>
        </w:rPr>
        <w:t xml:space="preserve">Diligencias necesarias para </w:t>
      </w:r>
      <w:r w:rsidR="00981131">
        <w:rPr>
          <w:rFonts w:ascii="Titillium Web" w:hAnsi="Titillium Web" w:cs="Arial"/>
          <w:bCs/>
          <w:noProof/>
          <w:lang w:eastAsia="es-ES"/>
        </w:rPr>
        <w:t xml:space="preserve">la </w:t>
      </w:r>
      <w:r>
        <w:rPr>
          <w:rFonts w:ascii="Titillium Web" w:hAnsi="Titillium Web" w:cs="Arial"/>
          <w:bCs/>
          <w:noProof/>
          <w:lang w:eastAsia="es-ES"/>
        </w:rPr>
        <w:t>tra</w:t>
      </w:r>
      <w:r w:rsidR="00981131">
        <w:rPr>
          <w:rFonts w:ascii="Titillium Web" w:hAnsi="Titillium Web" w:cs="Arial"/>
          <w:bCs/>
          <w:noProof/>
          <w:lang w:eastAsia="es-ES"/>
        </w:rPr>
        <w:t>mitación de la licencia de obras y la autorización del organismo competente.</w:t>
      </w:r>
    </w:p>
    <w:p w:rsidR="00D840D4" w:rsidRPr="00D840D4" w:rsidRDefault="00D840D4" w:rsidP="00D840D4">
      <w:pPr>
        <w:pStyle w:val="Prrafodelista"/>
        <w:jc w:val="both"/>
        <w:rPr>
          <w:rFonts w:ascii="Titillium Web" w:hAnsi="Titillium Web" w:cs="Arial"/>
          <w:bCs/>
          <w:noProof/>
          <w:lang w:eastAsia="es-ES"/>
        </w:rPr>
      </w:pPr>
    </w:p>
    <w:p w:rsidR="00135C2A" w:rsidRPr="00381417" w:rsidRDefault="008C26ED"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3</w:t>
      </w:r>
      <w:r w:rsidR="00135C2A" w:rsidRPr="00381417">
        <w:rPr>
          <w:rFonts w:ascii="Titillium Web" w:hAnsi="Titillium Web" w:cs="Arial"/>
          <w:b/>
          <w:bCs/>
          <w:noProof/>
          <w:color w:val="2E74B5" w:themeColor="accent1" w:themeShade="BF"/>
          <w:lang w:eastAsia="es-ES"/>
        </w:rPr>
        <w:t>. Descripción de los documentos a presentar por los licitadores.</w:t>
      </w:r>
    </w:p>
    <w:p w:rsidR="00135C2A" w:rsidRDefault="00135C2A" w:rsidP="00135C2A">
      <w:pPr>
        <w:jc w:val="both"/>
      </w:pPr>
      <w:r w:rsidRPr="00381417">
        <w:rPr>
          <w:rFonts w:ascii="Titillium Web" w:hAnsi="Titillium Web" w:cs="Arial"/>
          <w:bCs/>
          <w:noProof/>
          <w:lang w:eastAsia="es-ES"/>
        </w:rPr>
        <w:t>El licitador compondrá los Sobres Nº 1, 2 y 3 con lo prescrito en el Pliego.</w:t>
      </w:r>
    </w:p>
    <w:p w:rsidR="00135C2A" w:rsidRPr="00381417" w:rsidRDefault="00781F01"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3</w:t>
      </w:r>
      <w:r w:rsidR="00135C2A" w:rsidRPr="00381417">
        <w:rPr>
          <w:rFonts w:ascii="Titillium Web" w:hAnsi="Titillium Web" w:cs="Arial"/>
          <w:b/>
          <w:bCs/>
          <w:noProof/>
          <w:color w:val="2E74B5" w:themeColor="accent1" w:themeShade="BF"/>
          <w:lang w:eastAsia="es-ES"/>
        </w:rPr>
        <w:t>.1. Sobre nº1 – Documentación general.</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Invitación al concurso a través de un aparejador, arquitecto técnico o ingeniero de edificación colegiado en el COAAT</w:t>
      </w:r>
      <w:r w:rsidR="00981131">
        <w:rPr>
          <w:rFonts w:ascii="Titillium Web" w:hAnsi="Titillium Web" w:cs="Arial"/>
          <w:bCs/>
          <w:noProof/>
          <w:lang w:eastAsia="es-ES"/>
        </w:rPr>
        <w:t xml:space="preserve"> de Granada</w:t>
      </w:r>
      <w:r w:rsidRPr="00381417">
        <w:rPr>
          <w:rFonts w:ascii="Titillium Web" w:hAnsi="Titillium Web" w:cs="Arial"/>
          <w:bCs/>
          <w:noProof/>
          <w:lang w:eastAsia="es-ES"/>
        </w:rPr>
        <w:t>.</w:t>
      </w:r>
    </w:p>
    <w:p w:rsidR="00981131" w:rsidRDefault="00781F01" w:rsidP="00981131">
      <w:pPr>
        <w:jc w:val="both"/>
        <w:rPr>
          <w:rFonts w:ascii="Titillium Web" w:hAnsi="Titillium Web" w:cs="Arial"/>
          <w:b/>
          <w:bCs/>
          <w:noProof/>
          <w:color w:val="2E74B5" w:themeColor="accent1" w:themeShade="BF"/>
          <w:lang w:eastAsia="es-ES"/>
        </w:rPr>
      </w:pPr>
      <w:r w:rsidRPr="00981131">
        <w:rPr>
          <w:rFonts w:ascii="Titillium Web" w:hAnsi="Titillium Web" w:cs="Arial"/>
          <w:b/>
          <w:bCs/>
          <w:noProof/>
          <w:color w:val="2E74B5" w:themeColor="accent1" w:themeShade="BF"/>
          <w:lang w:eastAsia="es-ES"/>
        </w:rPr>
        <w:t>3</w:t>
      </w:r>
      <w:r w:rsidR="00135C2A" w:rsidRPr="00981131">
        <w:rPr>
          <w:rFonts w:ascii="Titillium Web" w:hAnsi="Titillium Web" w:cs="Arial"/>
          <w:b/>
          <w:bCs/>
          <w:noProof/>
          <w:color w:val="2E74B5" w:themeColor="accent1" w:themeShade="BF"/>
          <w:lang w:eastAsia="es-ES"/>
        </w:rPr>
        <w:t>.2. Sobre nº2 – Documentación relativa a los criterios de adjudicación evaluables mediante un juicio de valor.</w:t>
      </w:r>
      <w:r w:rsidR="00B30073" w:rsidRPr="00981131">
        <w:rPr>
          <w:rFonts w:ascii="Titillium Web" w:hAnsi="Titillium Web" w:cs="Arial"/>
          <w:b/>
          <w:bCs/>
          <w:noProof/>
          <w:color w:val="2E74B5" w:themeColor="accent1" w:themeShade="BF"/>
          <w:lang w:eastAsia="es-ES"/>
        </w:rPr>
        <w:t xml:space="preserve"> </w:t>
      </w:r>
    </w:p>
    <w:p w:rsidR="008C26ED" w:rsidRPr="00981131" w:rsidRDefault="008C26ED" w:rsidP="00981131">
      <w:pPr>
        <w:jc w:val="both"/>
        <w:rPr>
          <w:rFonts w:ascii="Titillium Web" w:hAnsi="Titillium Web" w:cs="Arial"/>
          <w:bCs/>
          <w:noProof/>
          <w:lang w:eastAsia="es-ES"/>
        </w:rPr>
      </w:pPr>
      <w:r w:rsidRPr="00981131">
        <w:rPr>
          <w:rFonts w:ascii="Titillium Web" w:hAnsi="Titillium Web" w:cs="Arial"/>
          <w:bCs/>
          <w:noProof/>
          <w:lang w:eastAsia="es-ES"/>
        </w:rPr>
        <w:t>Proyecto: Memoria, Planos, Pliego de Condiciones, Mediciones y Cumplimiento de Prescripciones.</w:t>
      </w:r>
      <w:r w:rsidR="00EF4295" w:rsidRPr="00981131">
        <w:rPr>
          <w:rFonts w:ascii="Titillium Web" w:hAnsi="Titillium Web" w:cs="Arial"/>
          <w:bCs/>
          <w:noProof/>
          <w:lang w:eastAsia="es-ES"/>
        </w:rPr>
        <w:t xml:space="preserve"> (Acreditación de experiencia en la redacción de este tipo de obra</w:t>
      </w:r>
      <w:r w:rsidR="00A25E70">
        <w:rPr>
          <w:rFonts w:ascii="Titillium Web" w:hAnsi="Titillium Web" w:cs="Arial"/>
          <w:bCs/>
          <w:noProof/>
          <w:lang w:eastAsia="es-ES"/>
        </w:rPr>
        <w:t>s</w:t>
      </w:r>
      <w:r w:rsidR="00EF4295" w:rsidRPr="00981131">
        <w:rPr>
          <w:rFonts w:ascii="Titillium Web" w:hAnsi="Titillium Web" w:cs="Arial"/>
          <w:bCs/>
          <w:noProof/>
          <w:lang w:eastAsia="es-ES"/>
        </w:rPr>
        <w:t>)</w:t>
      </w:r>
    </w:p>
    <w:p w:rsidR="00981131" w:rsidRDefault="00E007B6" w:rsidP="00381417">
      <w:pPr>
        <w:pStyle w:val="Prrafodelista"/>
        <w:numPr>
          <w:ilvl w:val="0"/>
          <w:numId w:val="4"/>
        </w:numPr>
        <w:jc w:val="both"/>
        <w:rPr>
          <w:rFonts w:ascii="Titillium Web" w:hAnsi="Titillium Web" w:cs="Arial"/>
          <w:bCs/>
          <w:noProof/>
          <w:lang w:eastAsia="es-ES"/>
        </w:rPr>
      </w:pPr>
      <w:r w:rsidRPr="00981131">
        <w:rPr>
          <w:rFonts w:ascii="Titillium Web" w:hAnsi="Titillium Web" w:cs="Arial"/>
          <w:bCs/>
          <w:noProof/>
          <w:lang w:eastAsia="es-ES"/>
        </w:rPr>
        <w:t>Tramitación de licencias y permisos.</w:t>
      </w:r>
      <w:r w:rsidR="00EF4295" w:rsidRPr="00981131">
        <w:rPr>
          <w:rFonts w:ascii="Titillium Web" w:hAnsi="Titillium Web" w:cs="Arial"/>
          <w:bCs/>
          <w:noProof/>
          <w:lang w:eastAsia="es-ES"/>
        </w:rPr>
        <w:t xml:space="preserve"> </w:t>
      </w:r>
    </w:p>
    <w:p w:rsidR="00781F01" w:rsidRPr="00981131" w:rsidRDefault="00781F01" w:rsidP="00381417">
      <w:pPr>
        <w:pStyle w:val="Prrafodelista"/>
        <w:numPr>
          <w:ilvl w:val="0"/>
          <w:numId w:val="4"/>
        </w:numPr>
        <w:jc w:val="both"/>
        <w:rPr>
          <w:rFonts w:ascii="Titillium Web" w:hAnsi="Titillium Web" w:cs="Arial"/>
          <w:bCs/>
          <w:noProof/>
          <w:lang w:eastAsia="es-ES"/>
        </w:rPr>
      </w:pPr>
      <w:r w:rsidRPr="00981131">
        <w:rPr>
          <w:rFonts w:ascii="Titillium Web" w:hAnsi="Titillium Web" w:cs="Arial"/>
          <w:bCs/>
          <w:noProof/>
          <w:lang w:eastAsia="es-ES"/>
        </w:rPr>
        <w:t>Dirección de obra.</w:t>
      </w:r>
    </w:p>
    <w:p w:rsidR="00135C2A" w:rsidRPr="002D4005" w:rsidRDefault="00781F01" w:rsidP="00135C2A">
      <w:pPr>
        <w:jc w:val="both"/>
        <w:rPr>
          <w:b/>
        </w:rPr>
      </w:pPr>
      <w:r w:rsidRPr="00381417">
        <w:rPr>
          <w:rFonts w:ascii="Titillium Web" w:hAnsi="Titillium Web" w:cs="Arial"/>
          <w:b/>
          <w:bCs/>
          <w:noProof/>
          <w:color w:val="2E74B5" w:themeColor="accent1" w:themeShade="BF"/>
          <w:lang w:eastAsia="es-ES"/>
        </w:rPr>
        <w:t>3</w:t>
      </w:r>
      <w:r w:rsidR="00135C2A" w:rsidRPr="00381417">
        <w:rPr>
          <w:rFonts w:ascii="Titillium Web" w:hAnsi="Titillium Web" w:cs="Arial"/>
          <w:b/>
          <w:bCs/>
          <w:noProof/>
          <w:color w:val="2E74B5" w:themeColor="accent1" w:themeShade="BF"/>
          <w:lang w:eastAsia="es-ES"/>
        </w:rPr>
        <w:t>.3. Sobre nº3 – Documentación relativa a los criterios de adjudicación evaluables mediante la aplicación de fórmulas.</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
          <w:bCs/>
          <w:noProof/>
          <w:lang w:eastAsia="es-ES"/>
        </w:rPr>
        <w:t>Proposición económica</w:t>
      </w:r>
      <w:r w:rsidRPr="00381417">
        <w:rPr>
          <w:rFonts w:ascii="Titillium Web" w:hAnsi="Titillium Web" w:cs="Arial"/>
          <w:bCs/>
          <w:noProof/>
          <w:lang w:eastAsia="es-ES"/>
        </w:rPr>
        <w:t>: La proposición, debidamente firmada y fechada.</w:t>
      </w:r>
    </w:p>
    <w:p w:rsidR="00135C2A" w:rsidRPr="00381417" w:rsidRDefault="00781F01"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4</w:t>
      </w:r>
      <w:r w:rsidR="00135C2A" w:rsidRPr="00381417">
        <w:rPr>
          <w:rFonts w:ascii="Titillium Web" w:hAnsi="Titillium Web" w:cs="Arial"/>
          <w:b/>
          <w:bCs/>
          <w:noProof/>
          <w:color w:val="2E74B5" w:themeColor="accent1" w:themeShade="BF"/>
          <w:lang w:eastAsia="es-ES"/>
        </w:rPr>
        <w:t>. Presentación de documentación.</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La documentación será presentada obligatoriamente tanto impresa como en formato digital.</w:t>
      </w:r>
    </w:p>
    <w:p w:rsidR="00135C2A" w:rsidRPr="00381417" w:rsidRDefault="00781F01"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5</w:t>
      </w:r>
      <w:r w:rsidR="00135C2A" w:rsidRPr="00381417">
        <w:rPr>
          <w:rFonts w:ascii="Titillium Web" w:hAnsi="Titillium Web" w:cs="Arial"/>
          <w:b/>
          <w:bCs/>
          <w:noProof/>
          <w:color w:val="2E74B5" w:themeColor="accent1" w:themeShade="BF"/>
          <w:lang w:eastAsia="es-ES"/>
        </w:rPr>
        <w:t>. Valoración de los criterios de adjudicación.</w:t>
      </w:r>
    </w:p>
    <w:p w:rsidR="00135C2A" w:rsidRPr="00381417" w:rsidRDefault="00781F01"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t>5</w:t>
      </w:r>
      <w:r w:rsidR="00135C2A" w:rsidRPr="00381417">
        <w:rPr>
          <w:rFonts w:ascii="Titillium Web" w:hAnsi="Titillium Web" w:cs="Arial"/>
          <w:b/>
          <w:bCs/>
          <w:noProof/>
          <w:color w:val="2E74B5" w:themeColor="accent1" w:themeShade="BF"/>
          <w:lang w:eastAsia="es-ES"/>
        </w:rPr>
        <w:t>.1. Valoración de los criterios sometidos a juicio de valor (hasta 50 puntos).</w:t>
      </w:r>
    </w:p>
    <w:p w:rsidR="00781F01" w:rsidRPr="00381417" w:rsidRDefault="00781F01" w:rsidP="00781F01">
      <w:pPr>
        <w:jc w:val="both"/>
        <w:rPr>
          <w:rFonts w:ascii="Titillium Web" w:hAnsi="Titillium Web" w:cs="Arial"/>
          <w:bCs/>
          <w:noProof/>
          <w:lang w:eastAsia="es-ES"/>
        </w:rPr>
      </w:pPr>
      <w:r w:rsidRPr="00E10C1C">
        <w:rPr>
          <w:rFonts w:ascii="Titillium Web" w:hAnsi="Titillium Web" w:cs="Arial"/>
          <w:b/>
          <w:bCs/>
          <w:noProof/>
          <w:lang w:eastAsia="es-ES"/>
        </w:rPr>
        <w:t>Proyecto</w:t>
      </w:r>
      <w:bookmarkStart w:id="0" w:name="_GoBack"/>
      <w:bookmarkEnd w:id="0"/>
      <w:r w:rsidRPr="00381417">
        <w:rPr>
          <w:rFonts w:ascii="Titillium Web" w:hAnsi="Titillium Web" w:cs="Arial"/>
          <w:bCs/>
          <w:noProof/>
          <w:lang w:eastAsia="es-ES"/>
        </w:rPr>
        <w:t>:</w:t>
      </w:r>
    </w:p>
    <w:p w:rsidR="00135C2A" w:rsidRPr="00381417" w:rsidRDefault="008C26ED" w:rsidP="00135C2A">
      <w:pPr>
        <w:pStyle w:val="Prrafodelista"/>
        <w:numPr>
          <w:ilvl w:val="0"/>
          <w:numId w:val="1"/>
        </w:numPr>
        <w:jc w:val="both"/>
        <w:rPr>
          <w:rFonts w:ascii="Titillium Web" w:hAnsi="Titillium Web" w:cs="Arial"/>
          <w:bCs/>
          <w:noProof/>
          <w:lang w:eastAsia="es-ES"/>
        </w:rPr>
      </w:pPr>
      <w:r w:rsidRPr="00381417">
        <w:rPr>
          <w:rFonts w:ascii="Titillium Web" w:hAnsi="Titillium Web" w:cs="Arial"/>
          <w:bCs/>
          <w:noProof/>
          <w:lang w:eastAsia="es-ES"/>
        </w:rPr>
        <w:t>Grado de conocimiento de los condicionantes del edificio</w:t>
      </w:r>
      <w:r w:rsidR="00135C2A" w:rsidRPr="00381417">
        <w:rPr>
          <w:rFonts w:ascii="Titillium Web" w:hAnsi="Titillium Web" w:cs="Arial"/>
          <w:bCs/>
          <w:noProof/>
          <w:lang w:eastAsia="es-ES"/>
        </w:rPr>
        <w:t>.</w:t>
      </w:r>
    </w:p>
    <w:p w:rsidR="00135C2A" w:rsidRPr="00381417" w:rsidRDefault="00F46DFC" w:rsidP="00135C2A">
      <w:pPr>
        <w:pStyle w:val="Prrafodelista"/>
        <w:jc w:val="both"/>
        <w:rPr>
          <w:rFonts w:ascii="Titillium Web" w:hAnsi="Titillium Web" w:cs="Arial"/>
          <w:bCs/>
          <w:noProof/>
          <w:lang w:eastAsia="es-ES"/>
        </w:rPr>
      </w:pPr>
      <w:r w:rsidRPr="00E10C1C">
        <w:rPr>
          <w:rFonts w:ascii="Titillium Web" w:hAnsi="Titillium Web" w:cs="Arial"/>
          <w:b/>
          <w:bCs/>
          <w:noProof/>
          <w:lang w:eastAsia="es-ES"/>
        </w:rPr>
        <w:t>5</w:t>
      </w:r>
      <w:r w:rsidR="00135C2A" w:rsidRPr="00E10C1C">
        <w:rPr>
          <w:rFonts w:ascii="Titillium Web" w:hAnsi="Titillium Web" w:cs="Arial"/>
          <w:b/>
          <w:bCs/>
          <w:noProof/>
          <w:lang w:eastAsia="es-ES"/>
        </w:rPr>
        <w:t xml:space="preserve"> puntos</w:t>
      </w:r>
      <w:r w:rsidR="00135C2A" w:rsidRPr="00381417">
        <w:rPr>
          <w:rFonts w:ascii="Titillium Web" w:hAnsi="Titillium Web" w:cs="Arial"/>
          <w:bCs/>
          <w:noProof/>
          <w:lang w:eastAsia="es-ES"/>
        </w:rPr>
        <w:t>.</w:t>
      </w:r>
    </w:p>
    <w:p w:rsidR="00135C2A" w:rsidRPr="00381417" w:rsidRDefault="008C26ED" w:rsidP="00135C2A">
      <w:pPr>
        <w:pStyle w:val="Prrafodelista"/>
        <w:numPr>
          <w:ilvl w:val="0"/>
          <w:numId w:val="1"/>
        </w:numPr>
        <w:jc w:val="both"/>
        <w:rPr>
          <w:rFonts w:ascii="Titillium Web" w:hAnsi="Titillium Web" w:cs="Arial"/>
          <w:bCs/>
          <w:noProof/>
          <w:lang w:eastAsia="es-ES"/>
        </w:rPr>
      </w:pPr>
      <w:r w:rsidRPr="00381417">
        <w:rPr>
          <w:rFonts w:ascii="Titillium Web" w:hAnsi="Titillium Web" w:cs="Arial"/>
          <w:bCs/>
          <w:noProof/>
          <w:lang w:eastAsia="es-ES"/>
        </w:rPr>
        <w:t>Grado de funcionalidad de la propuesta.</w:t>
      </w:r>
    </w:p>
    <w:p w:rsidR="00135C2A" w:rsidRPr="00381417" w:rsidRDefault="00F46DFC" w:rsidP="00135C2A">
      <w:pPr>
        <w:pStyle w:val="Prrafodelista"/>
        <w:jc w:val="both"/>
        <w:rPr>
          <w:rFonts w:ascii="Titillium Web" w:hAnsi="Titillium Web" w:cs="Arial"/>
          <w:bCs/>
          <w:noProof/>
          <w:lang w:eastAsia="es-ES"/>
        </w:rPr>
      </w:pPr>
      <w:r w:rsidRPr="00E10C1C">
        <w:rPr>
          <w:rFonts w:ascii="Titillium Web" w:hAnsi="Titillium Web" w:cs="Arial"/>
          <w:b/>
          <w:bCs/>
          <w:noProof/>
          <w:lang w:eastAsia="es-ES"/>
        </w:rPr>
        <w:t>5</w:t>
      </w:r>
      <w:r w:rsidR="00135C2A" w:rsidRPr="00E10C1C">
        <w:rPr>
          <w:rFonts w:ascii="Titillium Web" w:hAnsi="Titillium Web" w:cs="Arial"/>
          <w:b/>
          <w:bCs/>
          <w:noProof/>
          <w:lang w:eastAsia="es-ES"/>
        </w:rPr>
        <w:t xml:space="preserve"> puntos</w:t>
      </w:r>
      <w:r w:rsidR="00135C2A" w:rsidRPr="00381417">
        <w:rPr>
          <w:rFonts w:ascii="Titillium Web" w:hAnsi="Titillium Web" w:cs="Arial"/>
          <w:bCs/>
          <w:noProof/>
          <w:lang w:eastAsia="es-ES"/>
        </w:rPr>
        <w:t>.</w:t>
      </w:r>
    </w:p>
    <w:p w:rsidR="00135C2A" w:rsidRPr="00381417" w:rsidRDefault="008C26ED" w:rsidP="00135C2A">
      <w:pPr>
        <w:pStyle w:val="Prrafodelista"/>
        <w:numPr>
          <w:ilvl w:val="0"/>
          <w:numId w:val="1"/>
        </w:numPr>
        <w:jc w:val="both"/>
        <w:rPr>
          <w:rFonts w:ascii="Titillium Web" w:hAnsi="Titillium Web" w:cs="Arial"/>
          <w:bCs/>
          <w:noProof/>
          <w:lang w:eastAsia="es-ES"/>
        </w:rPr>
      </w:pPr>
      <w:r w:rsidRPr="00381417">
        <w:rPr>
          <w:rFonts w:ascii="Titillium Web" w:hAnsi="Titillium Web" w:cs="Arial"/>
          <w:bCs/>
          <w:noProof/>
          <w:lang w:eastAsia="es-ES"/>
        </w:rPr>
        <w:t>Adecuación de las soluciones constructivas</w:t>
      </w:r>
      <w:r w:rsidR="00781F01" w:rsidRPr="00381417">
        <w:rPr>
          <w:rFonts w:ascii="Titillium Web" w:hAnsi="Titillium Web" w:cs="Arial"/>
          <w:bCs/>
          <w:noProof/>
          <w:lang w:eastAsia="es-ES"/>
        </w:rPr>
        <w:t xml:space="preserve"> e instalaciones propuestas a las Normas de Diseño y previsión económica.</w:t>
      </w:r>
    </w:p>
    <w:p w:rsidR="00135C2A" w:rsidRPr="00381417" w:rsidRDefault="00135C2A" w:rsidP="00135C2A">
      <w:pPr>
        <w:pStyle w:val="Prrafodelista"/>
        <w:jc w:val="both"/>
        <w:rPr>
          <w:rFonts w:ascii="Titillium Web" w:hAnsi="Titillium Web" w:cs="Arial"/>
          <w:bCs/>
          <w:noProof/>
          <w:lang w:eastAsia="es-ES"/>
        </w:rPr>
      </w:pPr>
      <w:r w:rsidRPr="00E10C1C">
        <w:rPr>
          <w:rFonts w:ascii="Titillium Web" w:hAnsi="Titillium Web" w:cs="Arial"/>
          <w:b/>
          <w:bCs/>
          <w:noProof/>
          <w:lang w:eastAsia="es-ES"/>
        </w:rPr>
        <w:t>10 puntos</w:t>
      </w:r>
      <w:r w:rsidRPr="00381417">
        <w:rPr>
          <w:rFonts w:ascii="Titillium Web" w:hAnsi="Titillium Web" w:cs="Arial"/>
          <w:bCs/>
          <w:noProof/>
          <w:lang w:eastAsia="es-ES"/>
        </w:rPr>
        <w:t>.</w:t>
      </w:r>
    </w:p>
    <w:p w:rsidR="00E007B6" w:rsidRPr="00381417" w:rsidRDefault="00E007B6" w:rsidP="00E007B6">
      <w:pPr>
        <w:jc w:val="both"/>
        <w:rPr>
          <w:rFonts w:ascii="Titillium Web" w:hAnsi="Titillium Web" w:cs="Arial"/>
          <w:bCs/>
          <w:noProof/>
          <w:lang w:eastAsia="es-ES"/>
        </w:rPr>
      </w:pPr>
      <w:r w:rsidRPr="00E10C1C">
        <w:rPr>
          <w:rFonts w:ascii="Titillium Web" w:hAnsi="Titillium Web" w:cs="Arial"/>
          <w:b/>
          <w:bCs/>
          <w:noProof/>
          <w:lang w:eastAsia="es-ES"/>
        </w:rPr>
        <w:t>Tramitación de licencias y permisos</w:t>
      </w:r>
      <w:r w:rsidRPr="00381417">
        <w:rPr>
          <w:rFonts w:ascii="Titillium Web" w:hAnsi="Titillium Web" w:cs="Arial"/>
          <w:bCs/>
          <w:noProof/>
          <w:lang w:eastAsia="es-ES"/>
        </w:rPr>
        <w:t>:</w:t>
      </w:r>
    </w:p>
    <w:p w:rsidR="00E007B6" w:rsidRPr="00381417" w:rsidRDefault="00F46DFC" w:rsidP="00E007B6">
      <w:pPr>
        <w:pStyle w:val="Prrafodelista"/>
        <w:numPr>
          <w:ilvl w:val="0"/>
          <w:numId w:val="1"/>
        </w:numPr>
        <w:jc w:val="both"/>
        <w:rPr>
          <w:rFonts w:ascii="Titillium Web" w:hAnsi="Titillium Web" w:cs="Arial"/>
          <w:bCs/>
          <w:noProof/>
          <w:lang w:eastAsia="es-ES"/>
        </w:rPr>
      </w:pPr>
      <w:r w:rsidRPr="00381417">
        <w:rPr>
          <w:rFonts w:ascii="Titillium Web" w:hAnsi="Titillium Web" w:cs="Arial"/>
          <w:bCs/>
          <w:noProof/>
          <w:lang w:eastAsia="es-ES"/>
        </w:rPr>
        <w:t>Hoja de compromiso aceptando la gestión administrativa del expediente para la obtención de licencia</w:t>
      </w:r>
      <w:r w:rsidR="00E007B6" w:rsidRPr="00381417">
        <w:rPr>
          <w:rFonts w:ascii="Titillium Web" w:hAnsi="Titillium Web" w:cs="Arial"/>
          <w:bCs/>
          <w:noProof/>
          <w:lang w:eastAsia="es-ES"/>
        </w:rPr>
        <w:t>.</w:t>
      </w:r>
    </w:p>
    <w:p w:rsidR="00E007B6" w:rsidRPr="00381417" w:rsidRDefault="00F46DFC" w:rsidP="00E007B6">
      <w:pPr>
        <w:pStyle w:val="Prrafodelista"/>
        <w:jc w:val="both"/>
        <w:rPr>
          <w:rFonts w:ascii="Titillium Web" w:hAnsi="Titillium Web" w:cs="Arial"/>
          <w:bCs/>
          <w:noProof/>
          <w:lang w:eastAsia="es-ES"/>
        </w:rPr>
      </w:pPr>
      <w:r w:rsidRPr="00E10C1C">
        <w:rPr>
          <w:rFonts w:ascii="Titillium Web" w:hAnsi="Titillium Web" w:cs="Arial"/>
          <w:b/>
          <w:bCs/>
          <w:noProof/>
          <w:lang w:eastAsia="es-ES"/>
        </w:rPr>
        <w:t>10</w:t>
      </w:r>
      <w:r w:rsidR="00E007B6" w:rsidRPr="00E10C1C">
        <w:rPr>
          <w:rFonts w:ascii="Titillium Web" w:hAnsi="Titillium Web" w:cs="Arial"/>
          <w:b/>
          <w:bCs/>
          <w:noProof/>
          <w:lang w:eastAsia="es-ES"/>
        </w:rPr>
        <w:t xml:space="preserve"> puntos</w:t>
      </w:r>
      <w:r w:rsidR="00E007B6" w:rsidRPr="00381417">
        <w:rPr>
          <w:rFonts w:ascii="Titillium Web" w:hAnsi="Titillium Web" w:cs="Arial"/>
          <w:bCs/>
          <w:noProof/>
          <w:lang w:eastAsia="es-ES"/>
        </w:rPr>
        <w:t>.</w:t>
      </w:r>
    </w:p>
    <w:p w:rsidR="00781F01" w:rsidRPr="00381417" w:rsidRDefault="00781F01" w:rsidP="00781F01">
      <w:pPr>
        <w:jc w:val="both"/>
        <w:rPr>
          <w:rFonts w:ascii="Titillium Web" w:hAnsi="Titillium Web" w:cs="Arial"/>
          <w:bCs/>
          <w:noProof/>
          <w:lang w:eastAsia="es-ES"/>
        </w:rPr>
      </w:pPr>
      <w:r w:rsidRPr="00E10C1C">
        <w:rPr>
          <w:rFonts w:ascii="Titillium Web" w:hAnsi="Titillium Web" w:cs="Arial"/>
          <w:b/>
          <w:bCs/>
          <w:noProof/>
          <w:lang w:eastAsia="es-ES"/>
        </w:rPr>
        <w:t>Dirección de obra</w:t>
      </w:r>
      <w:r w:rsidRPr="00381417">
        <w:rPr>
          <w:rFonts w:ascii="Titillium Web" w:hAnsi="Titillium Web" w:cs="Arial"/>
          <w:bCs/>
          <w:noProof/>
          <w:lang w:eastAsia="es-ES"/>
        </w:rPr>
        <w:t>:</w:t>
      </w:r>
    </w:p>
    <w:p w:rsidR="00781F01" w:rsidRPr="00381417" w:rsidRDefault="00781F01" w:rsidP="00781F01">
      <w:pPr>
        <w:pStyle w:val="Prrafodelista"/>
        <w:numPr>
          <w:ilvl w:val="0"/>
          <w:numId w:val="1"/>
        </w:numPr>
        <w:jc w:val="both"/>
        <w:rPr>
          <w:rFonts w:ascii="Titillium Web" w:hAnsi="Titillium Web" w:cs="Arial"/>
          <w:bCs/>
          <w:noProof/>
          <w:lang w:eastAsia="es-ES"/>
        </w:rPr>
      </w:pPr>
      <w:r w:rsidRPr="00381417">
        <w:rPr>
          <w:rFonts w:ascii="Titillium Web" w:hAnsi="Titillium Web" w:cs="Arial"/>
          <w:bCs/>
          <w:noProof/>
          <w:lang w:eastAsia="es-ES"/>
        </w:rPr>
        <w:t>Número de visitas durante el plazo de ejecución de la obra.</w:t>
      </w:r>
    </w:p>
    <w:p w:rsidR="00781F01" w:rsidRPr="00381417" w:rsidRDefault="00781F01" w:rsidP="00781F01">
      <w:pPr>
        <w:pStyle w:val="Prrafodelista"/>
        <w:jc w:val="both"/>
        <w:rPr>
          <w:rFonts w:ascii="Titillium Web" w:hAnsi="Titillium Web" w:cs="Arial"/>
          <w:bCs/>
          <w:noProof/>
          <w:lang w:eastAsia="es-ES"/>
        </w:rPr>
      </w:pPr>
      <w:r w:rsidRPr="00E10C1C">
        <w:rPr>
          <w:rFonts w:ascii="Titillium Web" w:hAnsi="Titillium Web" w:cs="Arial"/>
          <w:b/>
          <w:bCs/>
          <w:noProof/>
          <w:lang w:eastAsia="es-ES"/>
        </w:rPr>
        <w:t>20 puntos</w:t>
      </w:r>
      <w:r w:rsidRPr="00381417">
        <w:rPr>
          <w:rFonts w:ascii="Titillium Web" w:hAnsi="Titillium Web" w:cs="Arial"/>
          <w:bCs/>
          <w:noProof/>
          <w:lang w:eastAsia="es-ES"/>
        </w:rPr>
        <w:t>.</w:t>
      </w:r>
    </w:p>
    <w:p w:rsidR="00135C2A" w:rsidRPr="00381417" w:rsidRDefault="00781F01" w:rsidP="00135C2A">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lastRenderedPageBreak/>
        <w:t>5</w:t>
      </w:r>
      <w:r w:rsidR="00135C2A" w:rsidRPr="00381417">
        <w:rPr>
          <w:rFonts w:ascii="Titillium Web" w:hAnsi="Titillium Web" w:cs="Arial"/>
          <w:b/>
          <w:bCs/>
          <w:noProof/>
          <w:color w:val="2E74B5" w:themeColor="accent1" w:themeShade="BF"/>
          <w:lang w:eastAsia="es-ES"/>
        </w:rPr>
        <w:t xml:space="preserve">.2. Valoración de los criterios </w:t>
      </w:r>
      <w:r w:rsidR="00347215" w:rsidRPr="00381417">
        <w:rPr>
          <w:rFonts w:ascii="Titillium Web" w:hAnsi="Titillium Web" w:cs="Arial"/>
          <w:b/>
          <w:bCs/>
          <w:noProof/>
          <w:color w:val="2E74B5" w:themeColor="accent1" w:themeShade="BF"/>
          <w:lang w:eastAsia="es-ES"/>
        </w:rPr>
        <w:t xml:space="preserve">no </w:t>
      </w:r>
      <w:r w:rsidR="00135C2A" w:rsidRPr="00381417">
        <w:rPr>
          <w:rFonts w:ascii="Titillium Web" w:hAnsi="Titillium Web" w:cs="Arial"/>
          <w:b/>
          <w:bCs/>
          <w:noProof/>
          <w:color w:val="2E74B5" w:themeColor="accent1" w:themeShade="BF"/>
          <w:lang w:eastAsia="es-ES"/>
        </w:rPr>
        <w:t>sometidos a juicio de valor (hasta 50 puntos).</w:t>
      </w:r>
    </w:p>
    <w:p w:rsidR="00347215"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 xml:space="preserve">La valoración de las bajas de las proposiciones económicas respecto al presupuesto base de licitación del presente Concurso se efectuará hasta un máximo de </w:t>
      </w:r>
      <w:r w:rsidR="00347215" w:rsidRPr="00381417">
        <w:rPr>
          <w:rFonts w:ascii="Titillium Web" w:hAnsi="Titillium Web" w:cs="Arial"/>
          <w:bCs/>
          <w:noProof/>
          <w:lang w:eastAsia="es-ES"/>
        </w:rPr>
        <w:t>50 puntos.</w:t>
      </w:r>
    </w:p>
    <w:p w:rsidR="00347215" w:rsidRPr="00381417" w:rsidRDefault="00347215" w:rsidP="00135C2A">
      <w:pPr>
        <w:jc w:val="both"/>
        <w:rPr>
          <w:rFonts w:ascii="Titillium Web" w:hAnsi="Titillium Web" w:cs="Arial"/>
          <w:bCs/>
          <w:noProof/>
          <w:lang w:eastAsia="es-ES"/>
        </w:rPr>
      </w:pPr>
      <w:r w:rsidRPr="00381417">
        <w:rPr>
          <w:rFonts w:ascii="Titillium Web" w:hAnsi="Titillium Web" w:cs="Arial"/>
          <w:bCs/>
          <w:noProof/>
          <w:lang w:eastAsia="es-ES"/>
        </w:rPr>
        <w:t>Oferta económica más ventajosa:</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Se asignará la máxima puntuación a aquella oferta que más se acerque a la baja media</w:t>
      </w:r>
      <w:r w:rsidR="00347215" w:rsidRPr="00381417">
        <w:rPr>
          <w:rFonts w:ascii="Titillium Web" w:hAnsi="Titillium Web" w:cs="Arial"/>
          <w:bCs/>
          <w:noProof/>
          <w:lang w:eastAsia="es-ES"/>
        </w:rPr>
        <w:t xml:space="preserve"> de todas las ofertas</w:t>
      </w:r>
      <w:r w:rsidRPr="00381417">
        <w:rPr>
          <w:rFonts w:ascii="Titillium Web" w:hAnsi="Titillium Web" w:cs="Arial"/>
          <w:bCs/>
          <w:noProof/>
          <w:lang w:eastAsia="es-ES"/>
        </w:rPr>
        <w:t xml:space="preserve"> menos </w:t>
      </w:r>
      <w:r w:rsidR="00347215" w:rsidRPr="00381417">
        <w:rPr>
          <w:rFonts w:ascii="Titillium Web" w:hAnsi="Titillium Web" w:cs="Arial"/>
          <w:bCs/>
          <w:noProof/>
          <w:lang w:eastAsia="es-ES"/>
        </w:rPr>
        <w:t>5</w:t>
      </w:r>
      <w:r w:rsidRPr="00381417">
        <w:rPr>
          <w:rFonts w:ascii="Titillium Web" w:hAnsi="Titillium Web" w:cs="Arial"/>
          <w:bCs/>
          <w:noProof/>
          <w:lang w:eastAsia="es-ES"/>
        </w:rPr>
        <w:t xml:space="preserve"> puntos</w:t>
      </w:r>
      <w:r w:rsidR="00F46DFC" w:rsidRPr="00381417">
        <w:rPr>
          <w:rFonts w:ascii="Titillium Web" w:hAnsi="Titillium Web" w:cs="Arial"/>
          <w:bCs/>
          <w:noProof/>
          <w:lang w:eastAsia="es-ES"/>
        </w:rPr>
        <w:t xml:space="preserve"> porcentuales</w:t>
      </w:r>
      <w:r w:rsidRPr="00381417">
        <w:rPr>
          <w:rFonts w:ascii="Titillium Web" w:hAnsi="Titillium Web" w:cs="Arial"/>
          <w:bCs/>
          <w:noProof/>
          <w:lang w:eastAsia="es-ES"/>
        </w:rPr>
        <w:t>, el resto de ofertas se valorarán proporcionalmente aplicando la fórmula que se propone.</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 xml:space="preserve">Fórmula que se aplicará para puntuar </w:t>
      </w:r>
      <w:r w:rsidR="00347215" w:rsidRPr="00381417">
        <w:rPr>
          <w:rFonts w:ascii="Titillium Web" w:hAnsi="Titillium Web" w:cs="Arial"/>
          <w:bCs/>
          <w:noProof/>
          <w:lang w:eastAsia="es-ES"/>
        </w:rPr>
        <w:t>el resto de o</w:t>
      </w:r>
      <w:r w:rsidRPr="00381417">
        <w:rPr>
          <w:rFonts w:ascii="Titillium Web" w:hAnsi="Titillium Web" w:cs="Arial"/>
          <w:bCs/>
          <w:noProof/>
          <w:lang w:eastAsia="es-ES"/>
        </w:rPr>
        <w:t>fertas económicas:</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 xml:space="preserve">Pi = 50 – </w:t>
      </w:r>
      <w:r w:rsidR="00F46DFC" w:rsidRPr="00381417">
        <w:rPr>
          <w:rFonts w:ascii="Titillium Web" w:hAnsi="Titillium Web" w:cs="Arial"/>
          <w:bCs/>
          <w:noProof/>
          <w:lang w:eastAsia="es-ES"/>
        </w:rPr>
        <w:t>|</w:t>
      </w:r>
      <w:r w:rsidRPr="00381417">
        <w:rPr>
          <w:rFonts w:ascii="Titillium Web" w:hAnsi="Titillium Web" w:cs="Arial"/>
          <w:bCs/>
          <w:noProof/>
          <w:lang w:eastAsia="es-ES"/>
        </w:rPr>
        <w:t>(Bg - Bi)</w:t>
      </w:r>
      <w:r w:rsidR="00F46DFC" w:rsidRPr="00381417">
        <w:rPr>
          <w:rFonts w:ascii="Titillium Web" w:hAnsi="Titillium Web" w:cs="Arial"/>
          <w:bCs/>
          <w:noProof/>
          <w:lang w:eastAsia="es-ES"/>
        </w:rPr>
        <w:t>|</w:t>
      </w:r>
      <w:r w:rsidR="00347215" w:rsidRPr="00381417">
        <w:rPr>
          <w:rFonts w:ascii="Titillium Web" w:hAnsi="Titillium Web" w:cs="Arial"/>
          <w:bCs/>
          <w:noProof/>
          <w:lang w:eastAsia="es-ES"/>
        </w:rPr>
        <w:t xml:space="preserve"> </w:t>
      </w:r>
      <w:r w:rsidRPr="00381417">
        <w:rPr>
          <w:rFonts w:ascii="Titillium Web" w:hAnsi="Titillium Web" w:cs="Arial"/>
          <w:bCs/>
          <w:noProof/>
          <w:lang w:eastAsia="es-ES"/>
        </w:rPr>
        <w:t>*</w:t>
      </w:r>
      <w:r w:rsidR="00347215" w:rsidRPr="00381417">
        <w:rPr>
          <w:rFonts w:ascii="Titillium Web" w:hAnsi="Titillium Web" w:cs="Arial"/>
          <w:bCs/>
          <w:noProof/>
          <w:lang w:eastAsia="es-ES"/>
        </w:rPr>
        <w:t xml:space="preserve"> </w:t>
      </w:r>
      <w:r w:rsidRPr="00381417">
        <w:rPr>
          <w:rFonts w:ascii="Titillium Web" w:hAnsi="Titillium Web" w:cs="Arial"/>
          <w:bCs/>
          <w:noProof/>
          <w:lang w:eastAsia="es-ES"/>
        </w:rPr>
        <w:t>2</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Pi = Puntuación obtenida por cada oferta.</w:t>
      </w:r>
    </w:p>
    <w:p w:rsidR="00135C2A" w:rsidRPr="00381417"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Bg = Porcentaje de baja con más puntuación.</w:t>
      </w:r>
    </w:p>
    <w:p w:rsidR="00135C2A" w:rsidRDefault="00135C2A" w:rsidP="00135C2A">
      <w:pPr>
        <w:jc w:val="both"/>
        <w:rPr>
          <w:rFonts w:ascii="Titillium Web" w:hAnsi="Titillium Web" w:cs="Arial"/>
          <w:bCs/>
          <w:noProof/>
          <w:lang w:eastAsia="es-ES"/>
        </w:rPr>
      </w:pPr>
      <w:r w:rsidRPr="00381417">
        <w:rPr>
          <w:rFonts w:ascii="Titillium Web" w:hAnsi="Titillium Web" w:cs="Arial"/>
          <w:bCs/>
          <w:noProof/>
          <w:lang w:eastAsia="es-ES"/>
        </w:rPr>
        <w:t>Bi = Porcentaje de baja correspondiente a la oferta del licitador que se valora.</w:t>
      </w:r>
    </w:p>
    <w:p w:rsidR="00381417" w:rsidRDefault="00381417"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136E2B" w:rsidRDefault="00136E2B"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10C1C" w:rsidRDefault="00E10C1C" w:rsidP="00135C2A">
      <w:pPr>
        <w:jc w:val="both"/>
        <w:rPr>
          <w:rFonts w:ascii="Titillium Web" w:hAnsi="Titillium Web" w:cs="Arial"/>
          <w:bCs/>
          <w:noProof/>
          <w:lang w:eastAsia="es-ES"/>
        </w:rPr>
      </w:pPr>
    </w:p>
    <w:p w:rsidR="00E007B6" w:rsidRPr="00381417" w:rsidRDefault="00E007B6" w:rsidP="00381417">
      <w:pPr>
        <w:jc w:val="both"/>
        <w:rPr>
          <w:rFonts w:ascii="Titillium Web" w:hAnsi="Titillium Web" w:cs="Arial"/>
          <w:b/>
          <w:bCs/>
          <w:noProof/>
          <w:color w:val="2E74B5" w:themeColor="accent1" w:themeShade="BF"/>
          <w:lang w:eastAsia="es-ES"/>
        </w:rPr>
      </w:pPr>
      <w:r w:rsidRPr="00381417">
        <w:rPr>
          <w:rFonts w:ascii="Titillium Web" w:hAnsi="Titillium Web" w:cs="Arial"/>
          <w:b/>
          <w:bCs/>
          <w:noProof/>
          <w:color w:val="2E74B5" w:themeColor="accent1" w:themeShade="BF"/>
          <w:lang w:eastAsia="es-ES"/>
        </w:rPr>
        <w:lastRenderedPageBreak/>
        <w:t>Anexo I. Nueva Planta de Distribución</w:t>
      </w:r>
    </w:p>
    <w:p w:rsidR="00E007B6" w:rsidRDefault="00E007B6"/>
    <w:p w:rsidR="00E007B6" w:rsidRPr="00E007B6" w:rsidRDefault="00136E2B">
      <w:pPr>
        <w:rPr>
          <w:b/>
          <w:color w:val="FF0000"/>
        </w:rPr>
      </w:pPr>
      <w:r>
        <w:rPr>
          <w:b/>
          <w:noProof/>
          <w:color w:val="FF0000"/>
        </w:rPr>
        <w:drawing>
          <wp:inline distT="0" distB="0" distL="0" distR="0">
            <wp:extent cx="5400040" cy="763651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O PLANTA BAJ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7636510"/>
                    </a:xfrm>
                    <a:prstGeom prst="rect">
                      <a:avLst/>
                    </a:prstGeom>
                  </pic:spPr>
                </pic:pic>
              </a:graphicData>
            </a:graphic>
          </wp:inline>
        </w:drawing>
      </w:r>
    </w:p>
    <w:sectPr w:rsidR="00E007B6" w:rsidRPr="00E007B6" w:rsidSect="00E10C1C">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tillium Web">
    <w:altName w:val="Courier New"/>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DFD"/>
    <w:multiLevelType w:val="hybridMultilevel"/>
    <w:tmpl w:val="AC781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BD7556"/>
    <w:multiLevelType w:val="hybridMultilevel"/>
    <w:tmpl w:val="702A9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2B7E30"/>
    <w:multiLevelType w:val="hybridMultilevel"/>
    <w:tmpl w:val="BE72B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082CA0"/>
    <w:multiLevelType w:val="hybridMultilevel"/>
    <w:tmpl w:val="5C7803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244311"/>
    <w:multiLevelType w:val="hybridMultilevel"/>
    <w:tmpl w:val="4E80F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E63D07"/>
    <w:multiLevelType w:val="hybridMultilevel"/>
    <w:tmpl w:val="09EE5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0F02326"/>
    <w:multiLevelType w:val="hybridMultilevel"/>
    <w:tmpl w:val="9C829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0A"/>
    <w:rsid w:val="00135C2A"/>
    <w:rsid w:val="00136E2B"/>
    <w:rsid w:val="00347215"/>
    <w:rsid w:val="00381417"/>
    <w:rsid w:val="003901AA"/>
    <w:rsid w:val="0040152A"/>
    <w:rsid w:val="00556DD3"/>
    <w:rsid w:val="00564E7C"/>
    <w:rsid w:val="00633705"/>
    <w:rsid w:val="006473F5"/>
    <w:rsid w:val="006669DB"/>
    <w:rsid w:val="006D66B7"/>
    <w:rsid w:val="00781F01"/>
    <w:rsid w:val="007D4FF2"/>
    <w:rsid w:val="008C26ED"/>
    <w:rsid w:val="00981131"/>
    <w:rsid w:val="00994BAF"/>
    <w:rsid w:val="009C320A"/>
    <w:rsid w:val="00A25E70"/>
    <w:rsid w:val="00B30073"/>
    <w:rsid w:val="00D840D4"/>
    <w:rsid w:val="00E007B6"/>
    <w:rsid w:val="00E10C1C"/>
    <w:rsid w:val="00E81E34"/>
    <w:rsid w:val="00EF4295"/>
    <w:rsid w:val="00F46D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368F"/>
  <w15:docId w15:val="{0E1DFB5C-3993-4E4F-90E5-C5FD2123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C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5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708</Words>
  <Characters>3897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dcterms:created xsi:type="dcterms:W3CDTF">2018-06-22T07:49:00Z</dcterms:created>
  <dcterms:modified xsi:type="dcterms:W3CDTF">2018-06-22T15:12:00Z</dcterms:modified>
</cp:coreProperties>
</file>